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Times New Roman" w:cs="Times New Roman" w:eastAsia="Times New Roman" w:hAnsi="Times New Roman"/>
        </w:rPr>
        <w:t xml:space="preserve">Telif ve Lisans Sözleşmesi</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721"/>
        <w:gridCol w:w="6349"/>
      </w:tblGrid>
      <w:tr>
        <w:trPr>
          <w:tblHeader w:val="false"/>
        </w:trPr>
        <w:tc>
          <w:tcPr>
            <w:tcW w:type="dxa" w:w="27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Dergi</w:t>
            </w:r>
          </w:p>
        </w:tc>
        <w:tc>
          <w:tcPr>
            <w:tcW w:type="dxa" w:w="6349"/>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Uygulamalı Dilbilim ve Dil Kullanımı Araştırmaları Dergisi / Journal of Applied Linguistics and Language in Use</w:t>
            </w:r>
          </w:p>
        </w:tc>
      </w:tr>
      <w:tr>
        <w:trPr>
          <w:tblHeader w:val="false"/>
        </w:trPr>
        <w:tc>
          <w:tcPr>
            <w:tcW w:type="dxa" w:w="27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Makale numarası</w:t>
            </w:r>
          </w:p>
        </w:tc>
        <w:tc>
          <w:tcPr>
            <w:tcW w:type="dxa" w:w="6349"/>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r>
        <w:trPr>
          <w:tblHeader w:val="false"/>
        </w:trPr>
        <w:tc>
          <w:tcPr>
            <w:tcW w:type="dxa" w:w="27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Makale başlığı</w:t>
            </w:r>
          </w:p>
        </w:tc>
        <w:tc>
          <w:tcPr>
            <w:tcW w:type="dxa" w:w="6349"/>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r>
        <w:trPr>
          <w:tblHeader w:val="false"/>
        </w:trPr>
        <w:tc>
          <w:tcPr>
            <w:tcW w:type="dxa" w:w="27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Yazar(lar)</w:t>
            </w:r>
          </w:p>
        </w:tc>
        <w:tc>
          <w:tcPr>
            <w:tcW w:type="dxa" w:w="6349"/>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bl>
    <w:p>
      <w:pPr>
        <w:spacing w:after="60"/>
      </w:pPr>
    </w:p>
    <w:p>
      <w:pPr>
        <w:pStyle w:val="ListParagraph"/>
        <w:numPr>
          <w:ilvl w:val="0"/>
          <w:numId w:val="2"/>
        </w:numPr>
        <w:spacing w:after="60"/>
      </w:pPr>
      <w:r>
        <w:rPr>
          <w:rFonts w:ascii="Times New Roman" w:cs="Times New Roman" w:eastAsia="Times New Roman" w:hAnsi="Times New Roman"/>
          <w:b/>
          <w:bCs/>
        </w:rPr>
        <w:t xml:space="preserve">Telif hakkı.</w:t>
      </w:r>
      <w:r>
        <w:rPr>
          <w:rFonts w:ascii="Times New Roman" w:cs="Times New Roman" w:eastAsia="Times New Roman" w:hAnsi="Times New Roman"/>
        </w:rPr>
        <w:t xml:space="preserve"> Makalenin telif hakkı yazar(lar)da kalır. Yazar(lar), makalenin ilk yayın hakkını dergiye verir.</w:t>
      </w:r>
    </w:p>
    <w:p>
      <w:pPr>
        <w:pStyle w:val="ListParagraph"/>
        <w:numPr>
          <w:ilvl w:val="0"/>
          <w:numId w:val="2"/>
        </w:numPr>
        <w:spacing w:after="60"/>
      </w:pPr>
      <w:r>
        <w:rPr>
          <w:rFonts w:ascii="Times New Roman" w:cs="Times New Roman" w:eastAsia="Times New Roman" w:hAnsi="Times New Roman"/>
          <w:b/>
          <w:bCs/>
        </w:rPr>
        <w:t xml:space="preserve">Lisans.</w:t>
      </w:r>
      <w:r>
        <w:rPr>
          <w:rFonts w:ascii="Times New Roman" w:cs="Times New Roman" w:eastAsia="Times New Roman" w:hAnsi="Times New Roman"/>
        </w:rPr>
        <w:t xml:space="preserve"> Makale, Creative Commons Atıf 4.0 Uluslararası (CC BY 4.0) lisansıyla yayımlanır. Bu lisans, yazar(lar)a ve ilk yayın yeri olarak dergiye uygun atıf yapılması koşuluyla, makalenin her türlü ortamda paylaşılmasına, çoğaltılmasına ve uyarlanmasına izin verir.</w:t>
      </w:r>
    </w:p>
    <w:p>
      <w:pPr>
        <w:pStyle w:val="ListParagraph"/>
        <w:numPr>
          <w:ilvl w:val="0"/>
          <w:numId w:val="2"/>
        </w:numPr>
        <w:spacing w:after="60"/>
      </w:pPr>
      <w:r>
        <w:rPr>
          <w:rFonts w:ascii="Times New Roman" w:cs="Times New Roman" w:eastAsia="Times New Roman" w:hAnsi="Times New Roman"/>
          <w:b/>
          <w:bCs/>
        </w:rPr>
        <w:t xml:space="preserve">Özgünlük.</w:t>
      </w:r>
      <w:r>
        <w:rPr>
          <w:rFonts w:ascii="Times New Roman" w:cs="Times New Roman" w:eastAsia="Times New Roman" w:hAnsi="Times New Roman"/>
        </w:rPr>
        <w:t xml:space="preserve"> Makale özgündür; daha önce başka bir yerde yayımlanmamıştır ve başka bir dergide değerlendirmede değildir.</w:t>
      </w:r>
    </w:p>
    <w:p>
      <w:pPr>
        <w:pStyle w:val="ListParagraph"/>
        <w:numPr>
          <w:ilvl w:val="0"/>
          <w:numId w:val="2"/>
        </w:numPr>
        <w:spacing w:after="60"/>
      </w:pPr>
      <w:r>
        <w:rPr>
          <w:rFonts w:ascii="Times New Roman" w:cs="Times New Roman" w:eastAsia="Times New Roman" w:hAnsi="Times New Roman"/>
          <w:b/>
          <w:bCs/>
        </w:rPr>
        <w:t xml:space="preserve">Üçüncü kişi hakları.</w:t>
      </w:r>
      <w:r>
        <w:rPr>
          <w:rFonts w:ascii="Times New Roman" w:cs="Times New Roman" w:eastAsia="Times New Roman" w:hAnsi="Times New Roman"/>
        </w:rPr>
        <w:t xml:space="preserve"> Makalede kullanılan ve üçüncü kişilere ait olan tablo, şekil, görsel ve veriler için gerekli izinler alınmıştır.</w:t>
      </w:r>
    </w:p>
    <w:p>
      <w:pPr>
        <w:pStyle w:val="ListParagraph"/>
        <w:numPr>
          <w:ilvl w:val="0"/>
          <w:numId w:val="2"/>
        </w:numPr>
        <w:spacing w:after="60"/>
      </w:pPr>
      <w:r>
        <w:rPr>
          <w:rFonts w:ascii="Times New Roman" w:cs="Times New Roman" w:eastAsia="Times New Roman" w:hAnsi="Times New Roman"/>
          <w:b/>
          <w:bCs/>
        </w:rPr>
        <w:t xml:space="preserve">Etik.</w:t>
      </w:r>
      <w:r>
        <w:rPr>
          <w:rFonts w:ascii="Times New Roman" w:cs="Times New Roman" w:eastAsia="Times New Roman" w:hAnsi="Times New Roman"/>
        </w:rPr>
        <w:t xml:space="preserve"> Çalışma için gereken etik kurul izni ve katılımcı onamları alınmıştır. Kişisel veriler 6698 sayılı Kişisel Verilerin Korunması Kanunu'na uygun biçimde işlenmiş ve anonimleştirilmiştir.</w:t>
      </w:r>
    </w:p>
    <w:p>
      <w:pPr>
        <w:pStyle w:val="ListParagraph"/>
        <w:numPr>
          <w:ilvl w:val="0"/>
          <w:numId w:val="2"/>
        </w:numPr>
        <w:spacing w:after="60"/>
      </w:pPr>
      <w:r>
        <w:rPr>
          <w:rFonts w:ascii="Times New Roman" w:cs="Times New Roman" w:eastAsia="Times New Roman" w:hAnsi="Times New Roman"/>
          <w:b/>
          <w:bCs/>
        </w:rPr>
        <w:t xml:space="preserve">Yazarlık.</w:t>
      </w:r>
      <w:r>
        <w:rPr>
          <w:rFonts w:ascii="Times New Roman" w:cs="Times New Roman" w:eastAsia="Times New Roman" w:hAnsi="Times New Roman"/>
        </w:rPr>
        <w:t xml:space="preserve"> Tüm yazarlar makalenin son hâlini okumuş ve onaylamıştır. Yazar olarak gösterilen herkes çalışmaya somut katkı vermiştir.</w:t>
      </w:r>
    </w:p>
    <w:p>
      <w:pPr>
        <w:pStyle w:val="ListParagraph"/>
        <w:numPr>
          <w:ilvl w:val="0"/>
          <w:numId w:val="2"/>
        </w:numPr>
        <w:spacing w:after="60"/>
      </w:pPr>
      <w:r>
        <w:rPr>
          <w:rFonts w:ascii="Times New Roman" w:cs="Times New Roman" w:eastAsia="Times New Roman" w:hAnsi="Times New Roman"/>
          <w:b/>
          <w:bCs/>
        </w:rPr>
        <w:t xml:space="preserve">Sorumluluk.</w:t>
      </w:r>
      <w:r>
        <w:rPr>
          <w:rFonts w:ascii="Times New Roman" w:cs="Times New Roman" w:eastAsia="Times New Roman" w:hAnsi="Times New Roman"/>
        </w:rPr>
        <w:t xml:space="preserve"> Makalenin içeriğinden ve makalede ileri sürülen görüşlerden yazar(lar) sorumludur.</w:t>
      </w:r>
    </w:p>
    <w:p>
      <w:pPr>
        <w:pStyle w:val="ListParagraph"/>
        <w:numPr>
          <w:ilvl w:val="0"/>
          <w:numId w:val="2"/>
        </w:numPr>
        <w:spacing w:after="60"/>
      </w:pPr>
      <w:r>
        <w:rPr>
          <w:rFonts w:ascii="Times New Roman" w:cs="Times New Roman" w:eastAsia="Times New Roman" w:hAnsi="Times New Roman"/>
          <w:b/>
          <w:bCs/>
        </w:rPr>
        <w:t xml:space="preserve">Yeniden yayım.</w:t>
      </w:r>
      <w:r>
        <w:rPr>
          <w:rFonts w:ascii="Times New Roman" w:cs="Times New Roman" w:eastAsia="Times New Roman" w:hAnsi="Times New Roman"/>
        </w:rPr>
        <w:t xml:space="preserve"> Yazar(lar), makaleyi dergiyi ilk yayın yeri olarak belirterek başka bir yerde (ör. kitap bölümü ya da kurumsal arşiv) yeniden yayımlayabilir.</w:t>
      </w:r>
    </w:p>
    <w:p>
      <w:pPr>
        <w:pStyle w:val="ListParagraph"/>
        <w:numPr>
          <w:ilvl w:val="0"/>
          <w:numId w:val="2"/>
        </w:numPr>
        <w:spacing w:after="60"/>
      </w:pPr>
      <w:r>
        <w:rPr>
          <w:rFonts w:ascii="Times New Roman" w:cs="Times New Roman" w:eastAsia="Times New Roman" w:hAnsi="Times New Roman"/>
          <w:b/>
          <w:bCs/>
        </w:rPr>
        <w:t xml:space="preserve">Yürürlük.</w:t>
      </w:r>
      <w:r>
        <w:rPr>
          <w:rFonts w:ascii="Times New Roman" w:cs="Times New Roman" w:eastAsia="Times New Roman" w:hAnsi="Times New Roman"/>
        </w:rPr>
        <w:t xml:space="preserve"> Bu sözleşme makalenin yayımlanmasıyla yürürlüğe girer. Makale yayımlanmazsa sözleşme hükümsüzdür.</w:t>
      </w:r>
    </w:p>
    <w:p>
      <w:pPr>
        <w:pStyle w:val="Heading2"/>
      </w:pPr>
      <w:r>
        <w:rPr>
          <w:rFonts w:ascii="Times New Roman" w:cs="Times New Roman" w:eastAsia="Times New Roman" w:hAnsi="Times New Roman"/>
        </w:rPr>
        <w:t xml:space="preserve">İmzalar</w:t>
      </w:r>
    </w:p>
    <w:p>
      <w:pPr>
        <w:jc w:val="both"/>
      </w:pPr>
      <w:r>
        <w:rPr>
          <w:rFonts w:ascii="Times New Roman" w:cs="Times New Roman" w:eastAsia="Times New Roman" w:hAnsi="Times New Roman"/>
        </w:rPr>
        <w:t xml:space="preserve">Sorumlu yazar sözleşmeyi tüm yazarlar adına imzalayabilir. Bu durumda aşağıdaki kutu işaretlenir.</w:t>
      </w:r>
    </w:p>
    <w:p>
      <w:pPr>
        <w:tabs>
          <w:tab w:val="left" w:pos="720"/>
        </w:tabs>
        <w:spacing w:after="60"/>
        <w:ind w:left="720" w:hanging="360"/>
      </w:pPr>
      <w:r>
        <w:rPr>
          <w:rFonts w:ascii="Times New Roman" w:cs="Times New Roman" w:eastAsia="Times New Roman" w:hAnsi="Times New Roman"/>
        </w:rPr>
        <w:t xml:space="preserve">☐</w:t>
      </w:r>
      <w:r>
        <w:rPr>
          <w:rFonts w:ascii="Times New Roman" w:cs="Times New Roman" w:eastAsia="Times New Roman" w:hAnsi="Times New Roman"/>
        </w:rPr>
        <w:tab/>
      </w:r>
      <w:r>
        <w:rPr>
          <w:rFonts w:ascii="Times New Roman" w:cs="Times New Roman" w:eastAsia="Times New Roman" w:hAnsi="Times New Roman"/>
        </w:rPr>
        <w:t xml:space="preserve">Sorumlu yazar olarak, bu sözleşmeyi diğer tüm yazarların onayını alarak imzaladığımı beyan ederim.</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
        <w:gridCol w:w="3628"/>
        <w:gridCol w:w="2268"/>
        <w:gridCol w:w="2267"/>
      </w:tblGrid>
      <w:tr>
        <w:trPr>
          <w:tblHeader/>
        </w:trPr>
        <w:tc>
          <w:tcPr>
            <w:tcW w:type="dxa" w:w="90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b/>
                <w:bCs/>
                <w:sz w:val="22"/>
                <w:szCs w:val="22"/>
              </w:rPr>
              <w:t xml:space="preserve">Sıra</w:t>
            </w:r>
          </w:p>
        </w:tc>
        <w:tc>
          <w:tcPr>
            <w:tcW w:type="dxa" w:w="362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b/>
                <w:bCs/>
                <w:sz w:val="22"/>
                <w:szCs w:val="22"/>
              </w:rPr>
              <w:t xml:space="preserve">Ad Soyad</w:t>
            </w:r>
          </w:p>
        </w:tc>
        <w:tc>
          <w:tcPr>
            <w:tcW w:type="dxa" w:w="226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b/>
                <w:bCs/>
                <w:sz w:val="22"/>
                <w:szCs w:val="22"/>
              </w:rPr>
              <w:t xml:space="preserve">Tarih</w:t>
            </w:r>
          </w:p>
        </w:tc>
        <w:tc>
          <w:tcPr>
            <w:tcW w:type="dxa" w:w="226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b/>
                <w:bCs/>
                <w:sz w:val="22"/>
                <w:szCs w:val="22"/>
              </w:rPr>
              <w:t xml:space="preserve">İmza</w:t>
            </w:r>
          </w:p>
        </w:tc>
      </w:tr>
      <w:tr>
        <w:trPr>
          <w:tblHeader w:val="false"/>
        </w:trPr>
        <w:tc>
          <w:tcPr>
            <w:tcW w:type="dxa" w:w="90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1</w:t>
            </w:r>
          </w:p>
        </w:tc>
        <w:tc>
          <w:tcPr>
            <w:tcW w:type="dxa" w:w="362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r>
        <w:trPr>
          <w:tblHeader w:val="false"/>
        </w:trPr>
        <w:tc>
          <w:tcPr>
            <w:tcW w:type="dxa" w:w="90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2</w:t>
            </w:r>
          </w:p>
        </w:tc>
        <w:tc>
          <w:tcPr>
            <w:tcW w:type="dxa" w:w="362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r>
        <w:trPr>
          <w:tblHeader w:val="false"/>
        </w:trPr>
        <w:tc>
          <w:tcPr>
            <w:tcW w:type="dxa" w:w="90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3</w:t>
            </w:r>
          </w:p>
        </w:tc>
        <w:tc>
          <w:tcPr>
            <w:tcW w:type="dxa" w:w="362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r>
        <w:trPr>
          <w:tblHeader w:val="false"/>
        </w:trPr>
        <w:tc>
          <w:tcPr>
            <w:tcW w:type="dxa" w:w="90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4</w:t>
            </w:r>
          </w:p>
        </w:tc>
        <w:tc>
          <w:tcPr>
            <w:tcW w:type="dxa" w:w="362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bl>
    <w:p>
      <w:pPr>
        <w:spacing w:after="60"/>
      </w:pP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jc w:val="center"/>
      <w:outlineLvl w:val="0"/>
    </w:pPr>
    <w:rPr>
      <w:rFonts w:ascii="Times New Roman" w:cs="Times New Roman" w:eastAsia="Times New Roman" w:hAnsi="Times New Roman"/>
      <w:b/>
      <w:bCs/>
      <w:color w:val="000000"/>
      <w:sz w:val="28"/>
      <w:szCs w:val="28"/>
    </w:rPr>
  </w:style>
  <w:style w:type="paragraph" w:styleId="Heading2">
    <w:name w:val="Heading 2"/>
    <w:basedOn w:val="Normal"/>
    <w:next w:val="Normal"/>
    <w:qFormat/>
    <w:pPr>
      <w:keepNext/>
      <w:spacing w:after="120" w:before="280"/>
      <w:outlineLvl w:val="1"/>
    </w:pPr>
    <w:rPr>
      <w:rFonts w:ascii="Times New Roman" w:cs="Times New Roman" w:eastAsia="Times New Roman" w:hAnsi="Times New Roman"/>
      <w:b/>
      <w:bCs/>
      <w:color w:val="000000"/>
      <w:sz w:val="24"/>
      <w:szCs w:val="24"/>
    </w:rPr>
  </w:style>
  <w:style w:type="paragraph" w:styleId="Heading3">
    <w:name w:val="Heading 3"/>
    <w:basedOn w:val="Normal"/>
    <w:next w:val="Normal"/>
    <w:qFormat/>
    <w:pPr>
      <w:keepNext/>
      <w:spacing w:after="100" w:before="200"/>
      <w:outlineLvl w:val="2"/>
    </w:pPr>
    <w:rPr>
      <w:rFonts w:ascii="Times New Roman" w:cs="Times New Roman" w:eastAsia="Times New Roman" w:hAnsi="Times New Roman"/>
      <w:b/>
      <w:bCs/>
      <w:i/>
      <w:i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Hülya Kocagül</dc:creator>
  <cp:lastModifiedBy>Un-named</cp:lastModifiedBy>
  <cp:revision>1</cp:revision>
  <dcterms:created xsi:type="dcterms:W3CDTF">2026-09-28T09:22:31.877Z</dcterms:created>
  <dcterms:modified xsi:type="dcterms:W3CDTF">2026-09-28T09:22:31.877Z</dcterms:modified>
</cp:coreProperties>
</file>

<file path=docProps/custom.xml><?xml version="1.0" encoding="utf-8"?>
<Properties xmlns="http://schemas.openxmlformats.org/officeDocument/2006/custom-properties" xmlns:vt="http://schemas.openxmlformats.org/officeDocument/2006/docPropsVTypes"/>
</file>